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B4AF4" w14:textId="437EFDC4" w:rsidR="001D14AE" w:rsidRPr="00883A76" w:rsidRDefault="001D14AE" w:rsidP="001D14AE">
      <w:pPr>
        <w:pStyle w:val="NormalWeb"/>
        <w:spacing w:before="264" w:beforeAutospacing="0" w:after="264" w:afterAutospacing="0"/>
        <w:rPr>
          <w:b/>
          <w:bCs/>
        </w:rPr>
      </w:pPr>
      <w:r w:rsidRPr="00883A76">
        <w:rPr>
          <w:b/>
          <w:bCs/>
        </w:rPr>
        <w:t>Abstract:</w:t>
      </w:r>
      <w:r w:rsidR="00600F86" w:rsidRPr="00883A76">
        <w:rPr>
          <w:b/>
          <w:bCs/>
        </w:rPr>
        <w:t xml:space="preserve">   </w:t>
      </w:r>
      <w:r w:rsidR="00600F86" w:rsidRPr="00883A76">
        <w:t xml:space="preserve">Because </w:t>
      </w:r>
      <w:r w:rsidR="00874477" w:rsidRPr="00883A76">
        <w:t xml:space="preserve">of </w:t>
      </w:r>
      <w:r w:rsidR="00600F86" w:rsidRPr="00883A76">
        <w:t xml:space="preserve">the current estate tax exemption amount ($11.7 million in 2021), many estates no longer need to be concerned with federal estate tax. As a result, more </w:t>
      </w:r>
      <w:r w:rsidR="00C231B0" w:rsidRPr="00883A76">
        <w:t xml:space="preserve">energy </w:t>
      </w:r>
      <w:r w:rsidR="00600F86" w:rsidRPr="00883A76">
        <w:t>can be devoted to</w:t>
      </w:r>
      <w:r w:rsidR="00971FC8" w:rsidRPr="00883A76">
        <w:t xml:space="preserve"> other aspects of estate planning.</w:t>
      </w:r>
      <w:r w:rsidR="00DE1A1F" w:rsidRPr="00883A76">
        <w:t xml:space="preserve"> This article looks at important issues to still consider.</w:t>
      </w:r>
    </w:p>
    <w:p w14:paraId="24C3B249" w14:textId="3AE4D66B" w:rsidR="001D14AE" w:rsidRPr="00883A76" w:rsidRDefault="003073BE" w:rsidP="001D14AE">
      <w:pPr>
        <w:pStyle w:val="NormalWeb"/>
        <w:spacing w:before="264" w:beforeAutospacing="0" w:after="264" w:afterAutospacing="0"/>
      </w:pPr>
      <w:r w:rsidRPr="00883A76">
        <w:rPr>
          <w:b/>
          <w:bCs/>
          <w:sz w:val="28"/>
          <w:szCs w:val="28"/>
        </w:rPr>
        <w:t xml:space="preserve">The </w:t>
      </w:r>
      <w:r w:rsidR="00F205F8" w:rsidRPr="00883A76">
        <w:rPr>
          <w:b/>
          <w:bCs/>
          <w:sz w:val="28"/>
          <w:szCs w:val="28"/>
        </w:rPr>
        <w:t xml:space="preserve">current state of </w:t>
      </w:r>
      <w:r w:rsidRPr="00883A76">
        <w:rPr>
          <w:b/>
          <w:bCs/>
          <w:sz w:val="28"/>
          <w:szCs w:val="28"/>
        </w:rPr>
        <w:t>estate plan</w:t>
      </w:r>
      <w:r w:rsidR="00F205F8" w:rsidRPr="00883A76">
        <w:rPr>
          <w:b/>
          <w:bCs/>
          <w:sz w:val="28"/>
          <w:szCs w:val="28"/>
        </w:rPr>
        <w:t>ning</w:t>
      </w:r>
    </w:p>
    <w:p w14:paraId="3B44A7C2" w14:textId="3B5E0277" w:rsidR="001D14AE" w:rsidRPr="00883A76" w:rsidRDefault="003073BE" w:rsidP="001D14AE">
      <w:pPr>
        <w:pStyle w:val="NormalWeb"/>
        <w:spacing w:before="264" w:beforeAutospacing="0" w:after="264" w:afterAutospacing="0"/>
      </w:pPr>
      <w:r w:rsidRPr="00883A76">
        <w:t xml:space="preserve">Because </w:t>
      </w:r>
      <w:r w:rsidR="00874477" w:rsidRPr="00883A76">
        <w:t xml:space="preserve">of </w:t>
      </w:r>
      <w:r w:rsidR="001D14AE" w:rsidRPr="00883A76">
        <w:t>the current estate tax exemption amount ($11.</w:t>
      </w:r>
      <w:r w:rsidRPr="00883A76">
        <w:t>7</w:t>
      </w:r>
      <w:r w:rsidR="001D14AE" w:rsidRPr="00883A76">
        <w:t xml:space="preserve"> million in 202</w:t>
      </w:r>
      <w:r w:rsidRPr="00883A76">
        <w:t>1</w:t>
      </w:r>
      <w:r w:rsidR="001D14AE" w:rsidRPr="00883A76">
        <w:t xml:space="preserve">), many estates no longer need to be concerned with federal estate tax. </w:t>
      </w:r>
      <w:r w:rsidR="0007090F" w:rsidRPr="00883A76">
        <w:t>Years ago</w:t>
      </w:r>
      <w:r w:rsidR="001D14AE" w:rsidRPr="00883A76">
        <w:t xml:space="preserve">, a much smaller </w:t>
      </w:r>
      <w:r w:rsidR="001967C7" w:rsidRPr="00883A76">
        <w:t xml:space="preserve">exemption </w:t>
      </w:r>
      <w:r w:rsidR="001D14AE" w:rsidRPr="00883A76">
        <w:t xml:space="preserve">amount </w:t>
      </w:r>
      <w:r w:rsidR="006E5FEF" w:rsidRPr="00883A76">
        <w:t xml:space="preserve">put more pressure on </w:t>
      </w:r>
      <w:r w:rsidR="001D14AE" w:rsidRPr="00883A76">
        <w:t>estate plans to avoid it.</w:t>
      </w:r>
      <w:r w:rsidR="00FF7B4B" w:rsidRPr="00883A76">
        <w:t xml:space="preserve"> </w:t>
      </w:r>
      <w:r w:rsidR="006E5FEF" w:rsidRPr="00883A76">
        <w:t>N</w:t>
      </w:r>
      <w:r w:rsidR="00600F86" w:rsidRPr="00883A76">
        <w:t xml:space="preserve">ow that </w:t>
      </w:r>
      <w:r w:rsidR="001D14AE" w:rsidRPr="00883A76">
        <w:t>many estates won</w:t>
      </w:r>
      <w:r w:rsidR="00F3661D" w:rsidRPr="00883A76">
        <w:t>’</w:t>
      </w:r>
      <w:r w:rsidR="001D14AE" w:rsidRPr="00883A76">
        <w:t xml:space="preserve">t be subject to estate tax, </w:t>
      </w:r>
      <w:r w:rsidR="001967C7" w:rsidRPr="00883A76">
        <w:t xml:space="preserve">you can devote </w:t>
      </w:r>
      <w:r w:rsidR="001D14AE" w:rsidRPr="00883A76">
        <w:t xml:space="preserve">more </w:t>
      </w:r>
      <w:r w:rsidR="00123286" w:rsidRPr="00883A76">
        <w:t xml:space="preserve">energy to other aspects of estate </w:t>
      </w:r>
      <w:r w:rsidR="001D14AE" w:rsidRPr="00883A76">
        <w:t>planning.</w:t>
      </w:r>
    </w:p>
    <w:p w14:paraId="52F887AE" w14:textId="446609CF" w:rsidR="003073BE" w:rsidRPr="00883A76" w:rsidRDefault="003073BE" w:rsidP="001D14AE">
      <w:pPr>
        <w:pStyle w:val="NormalWeb"/>
        <w:spacing w:before="264" w:beforeAutospacing="0" w:after="264" w:afterAutospacing="0"/>
        <w:rPr>
          <w:rStyle w:val="c-doc-para-italic"/>
          <w:b/>
          <w:bCs/>
        </w:rPr>
      </w:pPr>
      <w:bookmarkStart w:id="0" w:name="_Hlk51944977"/>
      <w:r w:rsidRPr="00883A76">
        <w:rPr>
          <w:rStyle w:val="c-doc-para-italic"/>
          <w:b/>
          <w:bCs/>
        </w:rPr>
        <w:t>U</w:t>
      </w:r>
      <w:r w:rsidR="001D14AE" w:rsidRPr="00883A76">
        <w:rPr>
          <w:rStyle w:val="c-doc-para-italic"/>
          <w:b/>
          <w:bCs/>
        </w:rPr>
        <w:t>se the exclusion</w:t>
      </w:r>
    </w:p>
    <w:p w14:paraId="0417C9E5" w14:textId="6C6B54B0" w:rsidR="001D14AE" w:rsidRPr="00883A76" w:rsidRDefault="003073BE" w:rsidP="001D14AE">
      <w:pPr>
        <w:pStyle w:val="NormalWeb"/>
        <w:spacing w:before="264" w:beforeAutospacing="0" w:after="264" w:afterAutospacing="0"/>
      </w:pPr>
      <w:r w:rsidRPr="00883A76">
        <w:t xml:space="preserve">Among </w:t>
      </w:r>
      <w:r w:rsidR="001D14AE" w:rsidRPr="00883A76">
        <w:t xml:space="preserve">the benefits of using the gift tax annual exclusion to make transfers during </w:t>
      </w:r>
      <w:r w:rsidR="00175A10" w:rsidRPr="00883A76">
        <w:t xml:space="preserve">your </w:t>
      </w:r>
      <w:r w:rsidR="001D14AE" w:rsidRPr="00883A76">
        <w:t xml:space="preserve">life is to save estate tax. This is because both the transferred assets and any post-transfer appreciation generated by those assets are removed from </w:t>
      </w:r>
      <w:r w:rsidR="009A43BB" w:rsidRPr="00883A76">
        <w:t>a</w:t>
      </w:r>
      <w:r w:rsidR="001D14AE" w:rsidRPr="00883A76">
        <w:t xml:space="preserve"> donor</w:t>
      </w:r>
      <w:r w:rsidR="00F3661D" w:rsidRPr="00883A76">
        <w:t>’</w:t>
      </w:r>
      <w:r w:rsidR="001D14AE" w:rsidRPr="00883A76">
        <w:t xml:space="preserve">s estate. </w:t>
      </w:r>
    </w:p>
    <w:p w14:paraId="1FA9033A" w14:textId="00EDC728" w:rsidR="001D14AE" w:rsidRPr="00883A76" w:rsidRDefault="001D14AE" w:rsidP="001D14AE">
      <w:pPr>
        <w:pStyle w:val="NormalWeb"/>
        <w:spacing w:before="264" w:beforeAutospacing="0" w:after="264" w:afterAutospacing="0"/>
      </w:pPr>
      <w:r w:rsidRPr="00883A76">
        <w:t>As mentioned, estate tax savings may not be an issue because of the large estate exemption amount. Further, making an annual exclusion transfer of appreciated property carries a potential income tax cost because the recipient receives the donor</w:t>
      </w:r>
      <w:r w:rsidR="00F3661D" w:rsidRPr="00883A76">
        <w:t>’</w:t>
      </w:r>
      <w:r w:rsidRPr="00883A76">
        <w:t>s basis upon transfer. Thus, the recipient could face income tax, in the form of capital gains tax, on the sale of the gifted property in the future. If there</w:t>
      </w:r>
      <w:r w:rsidR="00F3661D" w:rsidRPr="00883A76">
        <w:t>’</w:t>
      </w:r>
      <w:r w:rsidRPr="00883A76">
        <w:t xml:space="preserve">s no concern that an estate will be subject to estate tax, even if the gifted property grows in value, then the decision to make a gift should be based on other factors. </w:t>
      </w:r>
    </w:p>
    <w:p w14:paraId="31ED81EB" w14:textId="6E27849A" w:rsidR="001D14AE" w:rsidRPr="00883A76" w:rsidRDefault="001D14AE" w:rsidP="001D14AE">
      <w:pPr>
        <w:pStyle w:val="NormalWeb"/>
        <w:spacing w:before="264" w:beforeAutospacing="0" w:after="264" w:afterAutospacing="0"/>
      </w:pPr>
      <w:r w:rsidRPr="00883A76">
        <w:t>For example, gifts may be made to help a relative buy a home or start a business. But a donor shouldn</w:t>
      </w:r>
      <w:r w:rsidR="00F3661D" w:rsidRPr="00883A76">
        <w:t>’</w:t>
      </w:r>
      <w:r w:rsidRPr="00883A76">
        <w:t>t gift appreciated property because of the capital gain that could be realized on a future sale by the recipient. If the appreciated property is held until the donor</w:t>
      </w:r>
      <w:r w:rsidR="00F3661D" w:rsidRPr="00883A76">
        <w:t>’</w:t>
      </w:r>
      <w:r w:rsidRPr="00883A76">
        <w:t>s death, under current law, the heir will get a step-up in basis that will wipe out the capital gain</w:t>
      </w:r>
      <w:r w:rsidR="00874477" w:rsidRPr="00883A76">
        <w:t>s</w:t>
      </w:r>
      <w:r w:rsidRPr="00883A76">
        <w:t xml:space="preserve"> tax on any pre-death appreciation in the property</w:t>
      </w:r>
      <w:r w:rsidR="00F3661D" w:rsidRPr="00883A76">
        <w:t>’</w:t>
      </w:r>
      <w:r w:rsidRPr="00883A76">
        <w:t>s value.</w:t>
      </w:r>
      <w:r w:rsidR="001D3FEF" w:rsidRPr="00883A76">
        <w:t xml:space="preserve"> (</w:t>
      </w:r>
      <w:r w:rsidR="00565CD1" w:rsidRPr="00883A76">
        <w:t>Note: T</w:t>
      </w:r>
      <w:r w:rsidR="001D3FEF" w:rsidRPr="00883A76">
        <w:t>he</w:t>
      </w:r>
      <w:r w:rsidR="001A5397" w:rsidRPr="00883A76">
        <w:t xml:space="preserve"> Biden administration has proposed ending this tax break</w:t>
      </w:r>
      <w:r w:rsidR="0094629A" w:rsidRPr="00883A76">
        <w:t>, with some exceptions</w:t>
      </w:r>
      <w:r w:rsidR="001A5397" w:rsidRPr="00883A76">
        <w:t>.)</w:t>
      </w:r>
    </w:p>
    <w:bookmarkEnd w:id="0"/>
    <w:p w14:paraId="46F01242" w14:textId="799161BA" w:rsidR="003073BE" w:rsidRPr="00883A76" w:rsidRDefault="003073BE" w:rsidP="001D14AE">
      <w:pPr>
        <w:pStyle w:val="NormalWeb"/>
        <w:spacing w:before="264" w:beforeAutospacing="0" w:after="264" w:afterAutospacing="0"/>
        <w:rPr>
          <w:rStyle w:val="c-doc-para-italic"/>
          <w:b/>
          <w:bCs/>
        </w:rPr>
      </w:pPr>
      <w:r w:rsidRPr="00883A76">
        <w:rPr>
          <w:rStyle w:val="c-doc-para-italic"/>
          <w:b/>
          <w:bCs/>
        </w:rPr>
        <w:t>Look to spousal accounts</w:t>
      </w:r>
      <w:bookmarkStart w:id="1" w:name="keyword"/>
    </w:p>
    <w:p w14:paraId="004611B3" w14:textId="46940AA8" w:rsidR="003073BE" w:rsidRPr="00883A76" w:rsidRDefault="001D14AE" w:rsidP="001D14AE">
      <w:pPr>
        <w:pStyle w:val="NormalWeb"/>
        <w:spacing w:before="264" w:beforeAutospacing="0" w:after="264" w:afterAutospacing="0"/>
        <w:rPr>
          <w:rStyle w:val="bestsection"/>
        </w:rPr>
      </w:pPr>
      <w:r w:rsidRPr="00883A76">
        <w:t xml:space="preserve">In the past, spouses often undertook complicated strategies to equalize their estates so that each could take advantage of the estate tax exemption amount. Generally, a two-trust plan was established to minimize estate tax. </w:t>
      </w:r>
      <w:r w:rsidR="00F3661D" w:rsidRPr="00883A76">
        <w:t>“</w:t>
      </w:r>
      <w:r w:rsidRPr="00883A76">
        <w:t>Portability,</w:t>
      </w:r>
      <w:r w:rsidR="00F3661D" w:rsidRPr="00883A76">
        <w:t>”</w:t>
      </w:r>
      <w:r w:rsidRPr="00883A76">
        <w:t xml:space="preserve"> or the ability to apply the decedent</w:t>
      </w:r>
      <w:r w:rsidR="00F3661D" w:rsidRPr="00883A76">
        <w:t>’</w:t>
      </w:r>
      <w:r w:rsidRPr="00883A76">
        <w:t>s unused exclusion amount to the surviving spouse</w:t>
      </w:r>
      <w:r w:rsidR="00F3661D" w:rsidRPr="00883A76">
        <w:t>’</w:t>
      </w:r>
      <w:r w:rsidRPr="00883A76">
        <w:t xml:space="preserve">s </w:t>
      </w:r>
      <w:bookmarkStart w:id="2" w:name="lastBestSection"/>
      <w:bookmarkStart w:id="3" w:name="BestSection"/>
      <w:bookmarkEnd w:id="2"/>
      <w:bookmarkEnd w:id="3"/>
      <w:r w:rsidRPr="00883A76">
        <w:rPr>
          <w:rStyle w:val="bestsection"/>
        </w:rPr>
        <w:t>transfers during life and at death, became effective for estates of decedents dying after 2010.</w:t>
      </w:r>
    </w:p>
    <w:p w14:paraId="64561280" w14:textId="58BB387A" w:rsidR="001D14AE" w:rsidRPr="00883A76" w:rsidRDefault="00723A37" w:rsidP="001D14AE">
      <w:pPr>
        <w:pStyle w:val="NormalWeb"/>
        <w:spacing w:before="264" w:beforeAutospacing="0" w:after="264" w:afterAutospacing="0"/>
      </w:pPr>
      <w:r w:rsidRPr="00883A76">
        <w:rPr>
          <w:rStyle w:val="bestsection"/>
        </w:rPr>
        <w:t>If</w:t>
      </w:r>
      <w:r w:rsidR="001D14AE" w:rsidRPr="00883A76">
        <w:rPr>
          <w:rStyle w:val="bestsection"/>
        </w:rPr>
        <w:t xml:space="preserve"> the election is made, portability allows the surviving spouse to apply the unused portion of a decedent</w:t>
      </w:r>
      <w:r w:rsidR="00F3661D" w:rsidRPr="00883A76">
        <w:rPr>
          <w:rStyle w:val="bestsection"/>
        </w:rPr>
        <w:t>’</w:t>
      </w:r>
      <w:r w:rsidR="001D14AE" w:rsidRPr="00883A76">
        <w:rPr>
          <w:rStyle w:val="bestsection"/>
        </w:rPr>
        <w:t>s applicable exclusion amount (the deceased spousal unused exclusion amount) as calculated in the year of the decedent</w:t>
      </w:r>
      <w:r w:rsidR="00F3661D" w:rsidRPr="00883A76">
        <w:rPr>
          <w:rStyle w:val="bestsection"/>
        </w:rPr>
        <w:t>’</w:t>
      </w:r>
      <w:r w:rsidR="001D14AE" w:rsidRPr="00883A76">
        <w:rPr>
          <w:rStyle w:val="bestsection"/>
        </w:rPr>
        <w:t xml:space="preserve">s death. </w:t>
      </w:r>
      <w:bookmarkEnd w:id="1"/>
      <w:r w:rsidR="001D14AE" w:rsidRPr="00883A76">
        <w:t>The portability election gives married couples more flexibility in deciding how to use their exclusion amounts.</w:t>
      </w:r>
    </w:p>
    <w:p w14:paraId="207C8ECB" w14:textId="2F4E09EA" w:rsidR="003073BE" w:rsidRPr="00883A76" w:rsidRDefault="006048DF" w:rsidP="001D14AE">
      <w:pPr>
        <w:pStyle w:val="NormalWeb"/>
        <w:spacing w:before="264" w:beforeAutospacing="0" w:after="264" w:afterAutospacing="0"/>
        <w:rPr>
          <w:b/>
          <w:bCs/>
        </w:rPr>
      </w:pPr>
      <w:r w:rsidRPr="00883A76">
        <w:rPr>
          <w:b/>
          <w:bCs/>
        </w:rPr>
        <w:t>Identify strategies</w:t>
      </w:r>
    </w:p>
    <w:p w14:paraId="5554EE8F" w14:textId="4C8D18CD" w:rsidR="00680387" w:rsidRPr="00883A76" w:rsidRDefault="003073BE" w:rsidP="001D14AE">
      <w:pPr>
        <w:pStyle w:val="NormalWeb"/>
        <w:spacing w:before="264" w:beforeAutospacing="0" w:after="264" w:afterAutospacing="0"/>
      </w:pPr>
      <w:r w:rsidRPr="00883A76">
        <w:lastRenderedPageBreak/>
        <w:t xml:space="preserve">Although the federal estate tax is currently less onerous, estate planning is still a complex yet </w:t>
      </w:r>
      <w:r w:rsidR="0025248F" w:rsidRPr="00883A76">
        <w:t xml:space="preserve">critical </w:t>
      </w:r>
      <w:r w:rsidRPr="00883A76">
        <w:t xml:space="preserve">task. </w:t>
      </w:r>
      <w:r w:rsidR="001D14AE" w:rsidRPr="00883A76">
        <w:t xml:space="preserve">Contact us to discuss these </w:t>
      </w:r>
      <w:bookmarkStart w:id="4" w:name="_Hlk51949234"/>
      <w:r w:rsidR="001D14AE" w:rsidRPr="00883A76">
        <w:t xml:space="preserve">strategies and how they </w:t>
      </w:r>
      <w:r w:rsidR="0025248F" w:rsidRPr="00883A76">
        <w:t xml:space="preserve">might </w:t>
      </w:r>
      <w:r w:rsidR="001D14AE" w:rsidRPr="00883A76">
        <w:t>relate to your estate plan.</w:t>
      </w:r>
      <w:bookmarkEnd w:id="4"/>
    </w:p>
    <w:p w14:paraId="34A98567" w14:textId="33A24681" w:rsidR="003073BE" w:rsidRPr="00883A76" w:rsidRDefault="003073BE" w:rsidP="001D14AE">
      <w:pPr>
        <w:pStyle w:val="NormalWeb"/>
        <w:spacing w:before="264" w:beforeAutospacing="0" w:after="264" w:afterAutospacing="0"/>
        <w:rPr>
          <w:b/>
          <w:bCs/>
        </w:rPr>
      </w:pPr>
      <w:r w:rsidRPr="00883A76">
        <w:rPr>
          <w:b/>
          <w:bCs/>
        </w:rPr>
        <w:t>Sidebar: Don</w:t>
      </w:r>
      <w:r w:rsidR="00F3661D" w:rsidRPr="00883A76">
        <w:rPr>
          <w:b/>
          <w:bCs/>
        </w:rPr>
        <w:t>’</w:t>
      </w:r>
      <w:r w:rsidRPr="00883A76">
        <w:rPr>
          <w:b/>
          <w:bCs/>
        </w:rPr>
        <w:t>t rely on an outdated strategy</w:t>
      </w:r>
    </w:p>
    <w:p w14:paraId="49F0BA29" w14:textId="0565D89C" w:rsidR="003073BE" w:rsidRDefault="0025248F" w:rsidP="001D14AE">
      <w:pPr>
        <w:pStyle w:val="NormalWeb"/>
        <w:spacing w:before="264" w:beforeAutospacing="0" w:after="264" w:afterAutospacing="0"/>
      </w:pPr>
      <w:r w:rsidRPr="00883A76">
        <w:t>S</w:t>
      </w:r>
      <w:r w:rsidR="003073BE" w:rsidRPr="00883A76">
        <w:t>ome estate exclusion or valuation discount strategies to avoid inclusion of property in an estate may no longer be worth pursuing. It may be better to have the property included in the estate or not qualify for valuation discounts so that the property receives a step-up in basis. For example, the special use valuation — the valuation of qualified real property used for farming or in a business on the basis of the property</w:t>
      </w:r>
      <w:r w:rsidR="00F3661D" w:rsidRPr="00883A76">
        <w:t>’</w:t>
      </w:r>
      <w:r w:rsidR="003073BE" w:rsidRPr="00883A76">
        <w:t>s actual use, rather than on its highest and best use — may not save enough, or any, estate tax to justify giving up the step-up in basis that would otherwise occur for the property.</w:t>
      </w:r>
    </w:p>
    <w:p w14:paraId="2F338F25" w14:textId="7CB69E22" w:rsidR="00FA41E2" w:rsidRPr="00C11BBD" w:rsidRDefault="00FA41E2" w:rsidP="001D14AE">
      <w:pPr>
        <w:pStyle w:val="NormalWeb"/>
        <w:spacing w:before="264" w:beforeAutospacing="0" w:after="264" w:afterAutospacing="0"/>
      </w:pPr>
      <w:r>
        <w:t xml:space="preserve">© </w:t>
      </w:r>
      <w:r w:rsidRPr="00FA41E2">
        <w:rPr>
          <w:i/>
          <w:iCs/>
        </w:rPr>
        <w:t>2021</w:t>
      </w:r>
    </w:p>
    <w:sectPr w:rsidR="00FA41E2" w:rsidRPr="00C11B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4AE"/>
    <w:rsid w:val="00013124"/>
    <w:rsid w:val="0007090F"/>
    <w:rsid w:val="00085DD6"/>
    <w:rsid w:val="00123286"/>
    <w:rsid w:val="00175A10"/>
    <w:rsid w:val="001967C7"/>
    <w:rsid w:val="001A5397"/>
    <w:rsid w:val="001D14AE"/>
    <w:rsid w:val="001D3FEF"/>
    <w:rsid w:val="0021314D"/>
    <w:rsid w:val="0025248F"/>
    <w:rsid w:val="002671F1"/>
    <w:rsid w:val="002742A2"/>
    <w:rsid w:val="003073BE"/>
    <w:rsid w:val="00380C1D"/>
    <w:rsid w:val="003B6B74"/>
    <w:rsid w:val="003D3D5D"/>
    <w:rsid w:val="004078F8"/>
    <w:rsid w:val="004C566A"/>
    <w:rsid w:val="00565CD1"/>
    <w:rsid w:val="00600F86"/>
    <w:rsid w:val="006048DF"/>
    <w:rsid w:val="00670A81"/>
    <w:rsid w:val="00680387"/>
    <w:rsid w:val="006E5FEF"/>
    <w:rsid w:val="00723A37"/>
    <w:rsid w:val="007D720A"/>
    <w:rsid w:val="00874477"/>
    <w:rsid w:val="00883A76"/>
    <w:rsid w:val="00896685"/>
    <w:rsid w:val="008C0E04"/>
    <w:rsid w:val="0092322C"/>
    <w:rsid w:val="0094629A"/>
    <w:rsid w:val="00971FC8"/>
    <w:rsid w:val="009A43BB"/>
    <w:rsid w:val="009D7435"/>
    <w:rsid w:val="009F349B"/>
    <w:rsid w:val="00AA1EDE"/>
    <w:rsid w:val="00BC51E7"/>
    <w:rsid w:val="00C11BBD"/>
    <w:rsid w:val="00C23080"/>
    <w:rsid w:val="00C231B0"/>
    <w:rsid w:val="00C40575"/>
    <w:rsid w:val="00CB5896"/>
    <w:rsid w:val="00DE0CF0"/>
    <w:rsid w:val="00DE1A1F"/>
    <w:rsid w:val="00DF7D5D"/>
    <w:rsid w:val="00E31265"/>
    <w:rsid w:val="00EC2B79"/>
    <w:rsid w:val="00F205F8"/>
    <w:rsid w:val="00F261EA"/>
    <w:rsid w:val="00F3661D"/>
    <w:rsid w:val="00FA41E2"/>
    <w:rsid w:val="00FF5D5A"/>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24AF9"/>
  <w15:chartTrackingRefBased/>
  <w15:docId w15:val="{B870CE3F-952F-4427-A9D2-E5D2B465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14AE"/>
    <w:pPr>
      <w:spacing w:before="100" w:beforeAutospacing="1" w:after="100" w:afterAutospacing="1" w:line="240" w:lineRule="auto"/>
    </w:pPr>
    <w:rPr>
      <w:rFonts w:eastAsia="Times New Roman" w:cs="Times New Roman"/>
      <w:szCs w:val="24"/>
    </w:rPr>
  </w:style>
  <w:style w:type="character" w:customStyle="1" w:styleId="c-doc-para-italic">
    <w:name w:val="c-doc-para-italic"/>
    <w:basedOn w:val="DefaultParagraphFont"/>
    <w:rsid w:val="001D14AE"/>
  </w:style>
  <w:style w:type="character" w:customStyle="1" w:styleId="bestsection">
    <w:name w:val="best_section"/>
    <w:basedOn w:val="DefaultParagraphFont"/>
    <w:rsid w:val="001D14AE"/>
  </w:style>
  <w:style w:type="character" w:styleId="CommentReference">
    <w:name w:val="annotation reference"/>
    <w:basedOn w:val="DefaultParagraphFont"/>
    <w:uiPriority w:val="99"/>
    <w:semiHidden/>
    <w:unhideWhenUsed/>
    <w:rsid w:val="00670A81"/>
    <w:rPr>
      <w:sz w:val="16"/>
      <w:szCs w:val="16"/>
    </w:rPr>
  </w:style>
  <w:style w:type="paragraph" w:styleId="CommentText">
    <w:name w:val="annotation text"/>
    <w:basedOn w:val="Normal"/>
    <w:link w:val="CommentTextChar"/>
    <w:uiPriority w:val="99"/>
    <w:semiHidden/>
    <w:unhideWhenUsed/>
    <w:rsid w:val="00670A81"/>
    <w:pPr>
      <w:spacing w:line="240" w:lineRule="auto"/>
    </w:pPr>
    <w:rPr>
      <w:sz w:val="20"/>
      <w:szCs w:val="20"/>
    </w:rPr>
  </w:style>
  <w:style w:type="character" w:customStyle="1" w:styleId="CommentTextChar">
    <w:name w:val="Comment Text Char"/>
    <w:basedOn w:val="DefaultParagraphFont"/>
    <w:link w:val="CommentText"/>
    <w:uiPriority w:val="99"/>
    <w:semiHidden/>
    <w:rsid w:val="00670A8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70A81"/>
    <w:rPr>
      <w:b/>
      <w:bCs/>
    </w:rPr>
  </w:style>
  <w:style w:type="character" w:customStyle="1" w:styleId="CommentSubjectChar">
    <w:name w:val="Comment Subject Char"/>
    <w:basedOn w:val="CommentTextChar"/>
    <w:link w:val="CommentSubject"/>
    <w:uiPriority w:val="99"/>
    <w:semiHidden/>
    <w:rsid w:val="00670A81"/>
    <w:rPr>
      <w:rFonts w:ascii="Times New Roman" w:hAnsi="Times New Roman"/>
      <w:b/>
      <w:bCs/>
      <w:sz w:val="20"/>
      <w:szCs w:val="20"/>
    </w:rPr>
  </w:style>
  <w:style w:type="paragraph" w:styleId="BalloonText">
    <w:name w:val="Balloon Text"/>
    <w:basedOn w:val="Normal"/>
    <w:link w:val="BalloonTextChar"/>
    <w:uiPriority w:val="99"/>
    <w:semiHidden/>
    <w:unhideWhenUsed/>
    <w:rsid w:val="00670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A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882AB-5EA6-467C-8CD3-F5030464D24D}">
  <ds:schemaRefs>
    <ds:schemaRef ds:uri="5780ff4a-8397-4f78-a7bb-31364ea346f1"/>
    <ds:schemaRef ds:uri="http://purl.org/dc/dcmitype/"/>
    <ds:schemaRef ds:uri="3f3b3382-7005-45e0-adac-ca66d19e450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10C6848-2BEF-40B0-AB05-ECD62499C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87D7D-1F7E-4484-B5D5-2C517046AC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3</cp:revision>
  <dcterms:created xsi:type="dcterms:W3CDTF">2021-07-15T20:54:00Z</dcterms:created>
  <dcterms:modified xsi:type="dcterms:W3CDTF">2021-07-15T20:54:00Z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